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67" w:rsidRDefault="00E94867" w:rsidP="00D97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771A49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Informe Mesa de Trabajo </w:t>
      </w:r>
    </w:p>
    <w:p w:rsidR="00E94867" w:rsidRPr="00D97849" w:rsidRDefault="008C76F1" w:rsidP="00D97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“Proyecto piloto: INNOVATE REGION</w:t>
      </w:r>
      <w:r w:rsidR="00E94867">
        <w:rPr>
          <w:b/>
          <w:bCs/>
          <w:sz w:val="28"/>
          <w:szCs w:val="28"/>
        </w:rPr>
        <w:t xml:space="preserve"> “</w:t>
      </w:r>
    </w:p>
    <w:p w:rsidR="00E94867" w:rsidRDefault="00E94867" w:rsidP="00D23078">
      <w:pPr>
        <w:jc w:val="both"/>
        <w:rPr>
          <w:b/>
          <w:bCs/>
        </w:rPr>
      </w:pPr>
      <w:r>
        <w:rPr>
          <w:b/>
          <w:bCs/>
        </w:rPr>
        <w:t xml:space="preserve">Participantes: </w:t>
      </w:r>
    </w:p>
    <w:p w:rsidR="00E94867" w:rsidRDefault="00E94867" w:rsidP="00E73E3D">
      <w:pPr>
        <w:spacing w:after="0" w:line="240" w:lineRule="auto"/>
        <w:jc w:val="both"/>
      </w:pPr>
      <w:r>
        <w:t xml:space="preserve">Dr. Marco Zapata, Director de Capacitación de la Universidad de Piura </w:t>
      </w:r>
    </w:p>
    <w:p w:rsidR="00E94867" w:rsidRDefault="00E94867" w:rsidP="00E73E3D">
      <w:pPr>
        <w:spacing w:after="0" w:line="240" w:lineRule="auto"/>
        <w:jc w:val="both"/>
      </w:pPr>
      <w:r>
        <w:t xml:space="preserve">Lic.  </w:t>
      </w:r>
      <w:proofErr w:type="spellStart"/>
      <w:r>
        <w:t>Norbil</w:t>
      </w:r>
      <w:proofErr w:type="spellEnd"/>
      <w:r>
        <w:t xml:space="preserve"> Bustamante</w:t>
      </w:r>
      <w:r w:rsidR="001B16F2">
        <w:t>,</w:t>
      </w:r>
      <w:r>
        <w:t xml:space="preserve"> </w:t>
      </w:r>
      <w:r w:rsidR="001B16F2">
        <w:t>P</w:t>
      </w:r>
      <w:r>
        <w:t xml:space="preserve">rofesor </w:t>
      </w:r>
      <w:r w:rsidR="001B16F2">
        <w:t xml:space="preserve">de la Facultad de Educación, </w:t>
      </w:r>
      <w:r>
        <w:t>Universidad de Piura</w:t>
      </w:r>
    </w:p>
    <w:p w:rsidR="00484CCD" w:rsidRDefault="00484CCD" w:rsidP="00484CCD">
      <w:pPr>
        <w:spacing w:after="0" w:line="240" w:lineRule="auto"/>
        <w:jc w:val="both"/>
      </w:pPr>
      <w:r>
        <w:t>Ing. Pedro Mendoza, Asesor de Gobernación del GORE Piura</w:t>
      </w:r>
    </w:p>
    <w:p w:rsidR="00484CCD" w:rsidRDefault="00484CCD" w:rsidP="00484CCD">
      <w:pPr>
        <w:spacing w:after="0" w:line="240" w:lineRule="auto"/>
        <w:jc w:val="both"/>
      </w:pPr>
      <w:r>
        <w:t xml:space="preserve">Ing. Gerardo Acuña, Representante del Instituto Regional de Ciencia, Tecnología e Innovación del GORE Piura </w:t>
      </w:r>
    </w:p>
    <w:p w:rsidR="00E94867" w:rsidRDefault="00E94867" w:rsidP="00E73E3D">
      <w:pPr>
        <w:spacing w:after="0" w:line="240" w:lineRule="auto"/>
        <w:jc w:val="both"/>
      </w:pPr>
    </w:p>
    <w:p w:rsidR="00E94867" w:rsidRDefault="00E94867" w:rsidP="00D23078">
      <w:pPr>
        <w:jc w:val="both"/>
      </w:pPr>
      <w:r w:rsidRPr="005A2920">
        <w:rPr>
          <w:b/>
          <w:bCs/>
        </w:rPr>
        <w:t>Lugar</w:t>
      </w:r>
      <w:r>
        <w:t>: Facultad de Educación Universidad de Piura</w:t>
      </w:r>
    </w:p>
    <w:p w:rsidR="00E94867" w:rsidRDefault="00E94867" w:rsidP="00D23078">
      <w:pPr>
        <w:jc w:val="both"/>
      </w:pPr>
      <w:r w:rsidRPr="005A2920">
        <w:rPr>
          <w:b/>
          <w:bCs/>
        </w:rPr>
        <w:t>Fecha:</w:t>
      </w:r>
      <w:r w:rsidR="00573BCA">
        <w:t xml:space="preserve"> </w:t>
      </w:r>
      <w:bookmarkStart w:id="0" w:name="_GoBack"/>
      <w:bookmarkEnd w:id="0"/>
      <w:r w:rsidR="00573BCA">
        <w:t>4</w:t>
      </w:r>
      <w:r w:rsidR="00484CCD">
        <w:t xml:space="preserve"> Mayo</w:t>
      </w:r>
      <w:r w:rsidR="003F3032">
        <w:t xml:space="preserve"> de 2016, 9</w:t>
      </w:r>
      <w:r>
        <w:t>:00 a.m.</w:t>
      </w:r>
    </w:p>
    <w:p w:rsidR="00E94867" w:rsidRDefault="00E94867" w:rsidP="005A2920">
      <w:pPr>
        <w:pBdr>
          <w:bottom w:val="single" w:sz="4" w:space="1" w:color="auto"/>
        </w:pBdr>
        <w:jc w:val="both"/>
      </w:pPr>
    </w:p>
    <w:p w:rsidR="00E94867" w:rsidRPr="002F23B8" w:rsidRDefault="00E94867" w:rsidP="002F23B8">
      <w:pPr>
        <w:jc w:val="both"/>
        <w:rPr>
          <w:b/>
          <w:bCs/>
        </w:rPr>
      </w:pPr>
      <w:r>
        <w:rPr>
          <w:b/>
          <w:bCs/>
        </w:rPr>
        <w:t>1.-</w:t>
      </w:r>
      <w:r w:rsidRPr="002F23B8">
        <w:rPr>
          <w:b/>
          <w:bCs/>
        </w:rPr>
        <w:t>Introducción</w:t>
      </w:r>
    </w:p>
    <w:p w:rsidR="00484CCD" w:rsidRDefault="00484CCD" w:rsidP="00484CCD">
      <w:pPr>
        <w:spacing w:after="0" w:line="240" w:lineRule="auto"/>
        <w:jc w:val="both"/>
      </w:pPr>
      <w:r>
        <w:t xml:space="preserve">Se informa que se llevó a cabo reuniones de coordinación con el Lic. </w:t>
      </w:r>
      <w:proofErr w:type="spellStart"/>
      <w:r>
        <w:t>Victor</w:t>
      </w:r>
      <w:proofErr w:type="spellEnd"/>
      <w:r>
        <w:t xml:space="preserve"> Marengo Especialista de la Dirección de Innovación Tecnológica MINEDU los días</w:t>
      </w:r>
      <w:r w:rsidR="001B0A4E">
        <w:t xml:space="preserve"> 21 y 22 abril, para tratar </w:t>
      </w:r>
      <w:r>
        <w:t xml:space="preserve"> el Perfil del Proyecto y así mismo se realizó otra reunión de coordinación el día 26 abril para evaluar la asistencia de los docentes al primer curso de capacitación.</w:t>
      </w:r>
    </w:p>
    <w:p w:rsidR="00E94867" w:rsidRDefault="00E94867" w:rsidP="002F23B8">
      <w:pPr>
        <w:jc w:val="both"/>
      </w:pPr>
    </w:p>
    <w:p w:rsidR="00E94867" w:rsidRPr="002F23B8" w:rsidRDefault="00E94867" w:rsidP="002F23B8">
      <w:pPr>
        <w:jc w:val="both"/>
        <w:rPr>
          <w:b/>
          <w:bCs/>
        </w:rPr>
      </w:pPr>
      <w:r>
        <w:rPr>
          <w:b/>
          <w:bCs/>
        </w:rPr>
        <w:t>2.-</w:t>
      </w:r>
      <w:r w:rsidRPr="002F23B8">
        <w:rPr>
          <w:b/>
          <w:bCs/>
        </w:rPr>
        <w:t>Seguimiento a los Acuerdos</w:t>
      </w:r>
    </w:p>
    <w:tbl>
      <w:tblPr>
        <w:tblpPr w:leftFromText="141" w:rightFromText="141" w:vertAnchor="text" w:horzAnchor="margin" w:tblpY="64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0"/>
        <w:gridCol w:w="1932"/>
        <w:gridCol w:w="3600"/>
      </w:tblGrid>
      <w:tr w:rsidR="00E94867" w:rsidRPr="009D0AED" w:rsidTr="00FC5370">
        <w:trPr>
          <w:trHeight w:val="530"/>
        </w:trPr>
        <w:tc>
          <w:tcPr>
            <w:tcW w:w="3400" w:type="dxa"/>
          </w:tcPr>
          <w:p w:rsidR="00E94867" w:rsidRPr="009D0AED" w:rsidRDefault="00E94867" w:rsidP="007C12FB">
            <w:pPr>
              <w:jc w:val="center"/>
              <w:rPr>
                <w:b/>
                <w:bCs/>
              </w:rPr>
            </w:pPr>
            <w:r w:rsidRPr="009D0AED">
              <w:rPr>
                <w:b/>
                <w:bCs/>
              </w:rPr>
              <w:t>ACUERDO</w:t>
            </w:r>
          </w:p>
        </w:tc>
        <w:tc>
          <w:tcPr>
            <w:tcW w:w="1932" w:type="dxa"/>
          </w:tcPr>
          <w:p w:rsidR="00E94867" w:rsidRPr="009D0AED" w:rsidRDefault="00E94867" w:rsidP="00AA6EE1">
            <w:pPr>
              <w:rPr>
                <w:b/>
                <w:bCs/>
              </w:rPr>
            </w:pPr>
            <w:r w:rsidRPr="009D0AED">
              <w:rPr>
                <w:b/>
                <w:bCs/>
              </w:rPr>
              <w:t>RESPONSABLE</w:t>
            </w:r>
          </w:p>
        </w:tc>
        <w:tc>
          <w:tcPr>
            <w:tcW w:w="3600" w:type="dxa"/>
          </w:tcPr>
          <w:p w:rsidR="00E94867" w:rsidRPr="009D0AED" w:rsidRDefault="00E94867" w:rsidP="00AA6EE1">
            <w:pPr>
              <w:rPr>
                <w:b/>
                <w:bCs/>
              </w:rPr>
            </w:pPr>
            <w:r w:rsidRPr="009D0AED">
              <w:rPr>
                <w:b/>
                <w:bCs/>
              </w:rPr>
              <w:t>ACTIVIDAD DESARROLLADA</w:t>
            </w:r>
          </w:p>
        </w:tc>
      </w:tr>
      <w:tr w:rsidR="00E94867" w:rsidRPr="009D0AED" w:rsidTr="00FC5370">
        <w:trPr>
          <w:trHeight w:val="530"/>
        </w:trPr>
        <w:tc>
          <w:tcPr>
            <w:tcW w:w="3400" w:type="dxa"/>
            <w:shd w:val="clear" w:color="auto" w:fill="auto"/>
          </w:tcPr>
          <w:p w:rsidR="00E94867" w:rsidRPr="001B16F2" w:rsidRDefault="00E94867" w:rsidP="00AA6EE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1B16F2">
              <w:t>Definir el nombre del Proyecto</w:t>
            </w:r>
          </w:p>
        </w:tc>
        <w:tc>
          <w:tcPr>
            <w:tcW w:w="1932" w:type="dxa"/>
            <w:shd w:val="clear" w:color="auto" w:fill="auto"/>
          </w:tcPr>
          <w:p w:rsidR="00E94867" w:rsidRPr="001B16F2" w:rsidRDefault="00E94867" w:rsidP="00AA6EE1">
            <w:pPr>
              <w:rPr>
                <w:b/>
                <w:bCs/>
              </w:rPr>
            </w:pPr>
            <w:r w:rsidRPr="001B16F2">
              <w:t>DREP/GRP</w:t>
            </w:r>
          </w:p>
        </w:tc>
        <w:tc>
          <w:tcPr>
            <w:tcW w:w="3600" w:type="dxa"/>
            <w:shd w:val="clear" w:color="auto" w:fill="auto"/>
          </w:tcPr>
          <w:p w:rsidR="00013FD4" w:rsidRPr="001B16F2" w:rsidRDefault="00013FD4" w:rsidP="0001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16F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El nombre será :</w:t>
            </w:r>
          </w:p>
          <w:p w:rsidR="0017231D" w:rsidRPr="001B16F2" w:rsidRDefault="0017231D" w:rsidP="0001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013FD4" w:rsidRPr="001B16F2" w:rsidRDefault="00013FD4" w:rsidP="0001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B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“Innóvate Región”</w:t>
            </w:r>
          </w:p>
          <w:p w:rsidR="0017231D" w:rsidRPr="001B16F2" w:rsidRDefault="0017231D" w:rsidP="0001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1B16F2" w:rsidRPr="00FC5370" w:rsidRDefault="00013FD4" w:rsidP="00FC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B16F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Proyecto Piloto de Mejora de Competencias en los Estudiantes de Educación Básica Regular de la Región Piura</w:t>
            </w:r>
          </w:p>
        </w:tc>
      </w:tr>
      <w:tr w:rsidR="00E94867" w:rsidRPr="009D0AED" w:rsidTr="00FC5370">
        <w:trPr>
          <w:trHeight w:val="70"/>
        </w:trPr>
        <w:tc>
          <w:tcPr>
            <w:tcW w:w="3400" w:type="dxa"/>
          </w:tcPr>
          <w:p w:rsidR="00E94867" w:rsidRPr="009D0AED" w:rsidRDefault="00E94867" w:rsidP="001B16F2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t xml:space="preserve">Definir la provincia, los </w:t>
            </w:r>
            <w:r w:rsidR="00EF641B" w:rsidRPr="009D0AED">
              <w:t>colegios,</w:t>
            </w:r>
            <w:r w:rsidRPr="009D0AED">
              <w:t xml:space="preserve">   el nive</w:t>
            </w:r>
            <w:r w:rsidR="001B16F2">
              <w:t>l de educación donde se aplicará</w:t>
            </w:r>
            <w:r w:rsidRPr="009D0AED">
              <w:t xml:space="preserve"> el piloto y </w:t>
            </w:r>
            <w:r w:rsidR="001B16F2">
              <w:t>determinar la necesidad</w:t>
            </w:r>
            <w:r w:rsidRPr="009D0AED">
              <w:t xml:space="preserve"> de </w:t>
            </w:r>
            <w:proofErr w:type="spellStart"/>
            <w:r w:rsidRPr="009D0AED">
              <w:t>XOs</w:t>
            </w:r>
            <w:proofErr w:type="spellEnd"/>
            <w:r w:rsidRPr="009D0AED">
              <w:t>.</w:t>
            </w:r>
          </w:p>
        </w:tc>
        <w:tc>
          <w:tcPr>
            <w:tcW w:w="1932" w:type="dxa"/>
          </w:tcPr>
          <w:p w:rsidR="00E94867" w:rsidRPr="009D0AED" w:rsidRDefault="00E94867" w:rsidP="00AA6EE1">
            <w:r w:rsidRPr="009D0AED">
              <w:t>DREP/GRP</w:t>
            </w:r>
          </w:p>
        </w:tc>
        <w:tc>
          <w:tcPr>
            <w:tcW w:w="3600" w:type="dxa"/>
          </w:tcPr>
          <w:p w:rsidR="00D45BAB" w:rsidRPr="00D45BAB" w:rsidRDefault="00FC5370" w:rsidP="00D45BA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Concluido</w:t>
            </w:r>
          </w:p>
          <w:p w:rsidR="00D45BAB" w:rsidRPr="00D45BAB" w:rsidRDefault="00D45BAB" w:rsidP="00D45BAB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E94867" w:rsidRPr="009D0AED" w:rsidRDefault="00E94867" w:rsidP="001E782D">
            <w:pPr>
              <w:jc w:val="both"/>
            </w:pPr>
          </w:p>
        </w:tc>
      </w:tr>
      <w:tr w:rsidR="00E94867" w:rsidRPr="009D0AED" w:rsidTr="00FC5370">
        <w:trPr>
          <w:trHeight w:val="530"/>
        </w:trPr>
        <w:tc>
          <w:tcPr>
            <w:tcW w:w="3400" w:type="dxa"/>
          </w:tcPr>
          <w:p w:rsidR="00E94867" w:rsidRPr="009D0AED" w:rsidRDefault="00E94867" w:rsidP="00FC5370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lastRenderedPageBreak/>
              <w:t xml:space="preserve">Estructurar un </w:t>
            </w:r>
            <w:r w:rsidR="00FC5370">
              <w:t>programa de</w:t>
            </w:r>
            <w:r w:rsidRPr="009D0AED">
              <w:t xml:space="preserve"> capacitación de los docentes </w:t>
            </w:r>
          </w:p>
        </w:tc>
        <w:tc>
          <w:tcPr>
            <w:tcW w:w="1932" w:type="dxa"/>
          </w:tcPr>
          <w:p w:rsidR="00E94867" w:rsidRPr="009D0AED" w:rsidRDefault="00E94867" w:rsidP="00AA6EE1">
            <w:r w:rsidRPr="009D0AED">
              <w:t>UDEP</w:t>
            </w:r>
          </w:p>
        </w:tc>
        <w:tc>
          <w:tcPr>
            <w:tcW w:w="3600" w:type="dxa"/>
          </w:tcPr>
          <w:p w:rsidR="00E94867" w:rsidRPr="009D0AED" w:rsidRDefault="00FC5370" w:rsidP="00FC5370">
            <w:pPr>
              <w:jc w:val="both"/>
            </w:pPr>
            <w:r>
              <w:t>Se</w:t>
            </w:r>
            <w:r w:rsidR="00AC1BC8">
              <w:t xml:space="preserve"> reajusta el costo del proyecto</w:t>
            </w:r>
            <w:r>
              <w:t>:</w:t>
            </w:r>
            <w:r w:rsidR="00AC1BC8">
              <w:t xml:space="preserve"> el nuevo costo </w:t>
            </w:r>
            <w:r>
              <w:t>es</w:t>
            </w:r>
            <w:r w:rsidR="00AC1BC8">
              <w:t xml:space="preserve"> de 42</w:t>
            </w:r>
            <w:r w:rsidR="00E94867" w:rsidRPr="009D0AED">
              <w:t>,000 soles</w:t>
            </w:r>
            <w:r w:rsidR="00AC1BC8">
              <w:t xml:space="preserve"> (incluye materiales y certificados)</w:t>
            </w:r>
            <w:r w:rsidR="00D10BC0">
              <w:t xml:space="preserve">, </w:t>
            </w:r>
            <w:r>
              <w:t xml:space="preserve">más </w:t>
            </w:r>
            <w:r w:rsidR="00AC1BC8">
              <w:t>4500</w:t>
            </w:r>
            <w:r w:rsidR="00D10BC0">
              <w:t xml:space="preserve"> </w:t>
            </w:r>
            <w:r w:rsidR="00AC1BC8">
              <w:t xml:space="preserve">soles </w:t>
            </w:r>
            <w:r>
              <w:t xml:space="preserve"> para pasajes de los profesores, más </w:t>
            </w:r>
            <w:r w:rsidR="00AC1BC8">
              <w:t>3500 soles</w:t>
            </w:r>
            <w:r>
              <w:t xml:space="preserve"> por refrigerios.</w:t>
            </w:r>
            <w:r w:rsidR="00AC1BC8">
              <w:t xml:space="preserve"> </w:t>
            </w:r>
            <w:r>
              <w:t>T</w:t>
            </w:r>
            <w:r w:rsidR="00AC1BC8">
              <w:t>otal</w:t>
            </w:r>
            <w:r>
              <w:t>:</w:t>
            </w:r>
            <w:r w:rsidR="00AC1BC8">
              <w:t xml:space="preserve"> 50,000 soles.</w:t>
            </w:r>
          </w:p>
        </w:tc>
      </w:tr>
      <w:tr w:rsidR="00E94867" w:rsidRPr="009D0AED" w:rsidTr="00FC5370">
        <w:trPr>
          <w:trHeight w:val="530"/>
        </w:trPr>
        <w:tc>
          <w:tcPr>
            <w:tcW w:w="3400" w:type="dxa"/>
          </w:tcPr>
          <w:p w:rsidR="00E94867" w:rsidRPr="009D0AED" w:rsidRDefault="00E94867" w:rsidP="00FC5370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t xml:space="preserve">Buscar financiamiento </w:t>
            </w:r>
          </w:p>
        </w:tc>
        <w:tc>
          <w:tcPr>
            <w:tcW w:w="1932" w:type="dxa"/>
          </w:tcPr>
          <w:p w:rsidR="00E94867" w:rsidRPr="009D0AED" w:rsidRDefault="00E94867" w:rsidP="00AA6EE1">
            <w:r w:rsidRPr="009D0AED">
              <w:t>GORE/PAD</w:t>
            </w:r>
          </w:p>
        </w:tc>
        <w:tc>
          <w:tcPr>
            <w:tcW w:w="3600" w:type="dxa"/>
          </w:tcPr>
          <w:p w:rsidR="00E94867" w:rsidRPr="009D0AED" w:rsidRDefault="00AC1BC8" w:rsidP="002B0A18">
            <w:pPr>
              <w:jc w:val="both"/>
            </w:pPr>
            <w:r>
              <w:t xml:space="preserve">El GORE aporta 50,000 soles </w:t>
            </w:r>
            <w:r w:rsidR="00E14CA7">
              <w:t>para financiar el proyecto</w:t>
            </w:r>
            <w:r>
              <w:t>.</w:t>
            </w:r>
          </w:p>
          <w:p w:rsidR="00E94867" w:rsidRPr="009D0AED" w:rsidRDefault="00E94867" w:rsidP="002B0A18">
            <w:pPr>
              <w:jc w:val="both"/>
            </w:pPr>
          </w:p>
        </w:tc>
      </w:tr>
      <w:tr w:rsidR="00E94867" w:rsidRPr="009D0AED" w:rsidTr="00FC5370">
        <w:trPr>
          <w:trHeight w:val="530"/>
        </w:trPr>
        <w:tc>
          <w:tcPr>
            <w:tcW w:w="3400" w:type="dxa"/>
          </w:tcPr>
          <w:p w:rsidR="00E94867" w:rsidRPr="009D0AED" w:rsidRDefault="00F305D7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Realizar el</w:t>
            </w:r>
            <w:r w:rsidR="00E94867" w:rsidRPr="009D0AED">
              <w:t xml:space="preserve"> Perfil del Proyecto</w:t>
            </w:r>
          </w:p>
        </w:tc>
        <w:tc>
          <w:tcPr>
            <w:tcW w:w="1932" w:type="dxa"/>
          </w:tcPr>
          <w:p w:rsidR="00E94867" w:rsidRPr="009D0AED" w:rsidRDefault="00E94867" w:rsidP="00AA6EE1">
            <w:r w:rsidRPr="009D0AED">
              <w:t>DREP/UDEP</w:t>
            </w:r>
          </w:p>
        </w:tc>
        <w:tc>
          <w:tcPr>
            <w:tcW w:w="3600" w:type="dxa"/>
          </w:tcPr>
          <w:p w:rsidR="00E94867" w:rsidRPr="009D0AED" w:rsidRDefault="008F1754" w:rsidP="002B0A18">
            <w:pPr>
              <w:jc w:val="both"/>
            </w:pPr>
            <w:r>
              <w:t>Pendiente.</w:t>
            </w:r>
          </w:p>
        </w:tc>
      </w:tr>
      <w:tr w:rsidR="00E94867" w:rsidRPr="009D0AED" w:rsidTr="00FC5370">
        <w:trPr>
          <w:trHeight w:val="530"/>
        </w:trPr>
        <w:tc>
          <w:tcPr>
            <w:tcW w:w="3400" w:type="dxa"/>
          </w:tcPr>
          <w:p w:rsidR="00E94867" w:rsidRPr="009D0AED" w:rsidRDefault="00E94867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t>Realizar conferencia de prensa, anunciando la implementación del proyecto</w:t>
            </w:r>
          </w:p>
        </w:tc>
        <w:tc>
          <w:tcPr>
            <w:tcW w:w="1932" w:type="dxa"/>
          </w:tcPr>
          <w:p w:rsidR="00E94867" w:rsidRPr="009D0AED" w:rsidRDefault="00E94867" w:rsidP="00AA6EE1">
            <w:r w:rsidRPr="009D0AED">
              <w:t>GRP</w:t>
            </w:r>
          </w:p>
        </w:tc>
        <w:tc>
          <w:tcPr>
            <w:tcW w:w="3600" w:type="dxa"/>
          </w:tcPr>
          <w:p w:rsidR="00AC1BC8" w:rsidRDefault="00780ABF" w:rsidP="00AC1BC8">
            <w:pPr>
              <w:spacing w:after="0" w:line="240" w:lineRule="auto"/>
              <w:jc w:val="both"/>
            </w:pPr>
            <w:r>
              <w:t xml:space="preserve">Se </w:t>
            </w:r>
            <w:r w:rsidR="00AC1BC8">
              <w:t xml:space="preserve">realizó el </w:t>
            </w:r>
            <w:r w:rsidR="006B0604">
              <w:t>día</w:t>
            </w:r>
            <w:r w:rsidR="00AC1BC8">
              <w:t xml:space="preserve"> 19 de Abril en el GORE</w:t>
            </w:r>
            <w:r w:rsidR="00FC5370">
              <w:t>,</w:t>
            </w:r>
            <w:r w:rsidR="00AC1BC8">
              <w:t xml:space="preserve"> con asistencia de</w:t>
            </w:r>
            <w:r w:rsidR="00AC1BC8">
              <w:rPr>
                <w:rFonts w:cs="Times New Roman"/>
              </w:rPr>
              <w:t xml:space="preserve"> Ing. </w:t>
            </w:r>
            <w:proofErr w:type="spellStart"/>
            <w:r w:rsidR="00AC1BC8">
              <w:rPr>
                <w:rFonts w:cs="Times New Roman"/>
              </w:rPr>
              <w:t>Hermer</w:t>
            </w:r>
            <w:proofErr w:type="spellEnd"/>
            <w:r w:rsidR="00AC1BC8">
              <w:rPr>
                <w:rFonts w:cs="Times New Roman"/>
              </w:rPr>
              <w:t xml:space="preserve"> Alzamora Consejero Regional representante del Gobernador</w:t>
            </w:r>
            <w:r w:rsidR="00FC5370">
              <w:rPr>
                <w:rFonts w:cs="Times New Roman"/>
              </w:rPr>
              <w:t>;</w:t>
            </w:r>
            <w:r w:rsidR="00AC1BC8">
              <w:rPr>
                <w:rFonts w:cs="Times New Roman"/>
              </w:rPr>
              <w:t xml:space="preserve"> </w:t>
            </w:r>
            <w:r w:rsidR="00AC1BC8" w:rsidRPr="00D45BAB">
              <w:rPr>
                <w:rFonts w:cs="Times New Roman"/>
              </w:rPr>
              <w:t xml:space="preserve">Dr. Antonio </w:t>
            </w:r>
            <w:proofErr w:type="spellStart"/>
            <w:r w:rsidR="00AC1BC8" w:rsidRPr="00D45BAB">
              <w:rPr>
                <w:rFonts w:cs="Times New Roman"/>
              </w:rPr>
              <w:t>Mabres</w:t>
            </w:r>
            <w:proofErr w:type="spellEnd"/>
            <w:r w:rsidR="00AC1BC8" w:rsidRPr="00D45BAB">
              <w:rPr>
                <w:rFonts w:cs="Times New Roman"/>
              </w:rPr>
              <w:t>, Vicerrector de Investigación de la Universidad de Piura</w:t>
            </w:r>
            <w:r w:rsidR="00FC5370">
              <w:rPr>
                <w:rFonts w:cs="Times New Roman"/>
              </w:rPr>
              <w:t>;</w:t>
            </w:r>
            <w:r w:rsidR="00AC1BC8">
              <w:t xml:space="preserve"> Dr. Marco Zapata, Director de Capacitación de la Universidad de </w:t>
            </w:r>
            <w:r w:rsidR="006B0604">
              <w:t>Piura</w:t>
            </w:r>
            <w:r w:rsidR="00FC5370">
              <w:t>;</w:t>
            </w:r>
            <w:r w:rsidR="006B0604">
              <w:t xml:space="preserve"> Ing</w:t>
            </w:r>
            <w:r w:rsidR="00AC1BC8">
              <w:t xml:space="preserve">. Gerardo Acuña, Representante del Instituto Regional de Ciencia, Tecnología e Innovación del GORE </w:t>
            </w:r>
            <w:r w:rsidR="00A11C09">
              <w:t xml:space="preserve">Piura. </w:t>
            </w:r>
            <w:r w:rsidR="00AC1BC8">
              <w:t>Presencia de prensa escrita, radial  y televisi</w:t>
            </w:r>
            <w:r w:rsidR="00FC5370">
              <w:t>va</w:t>
            </w:r>
            <w:r w:rsidR="00AC1BC8">
              <w:t>.</w:t>
            </w:r>
          </w:p>
          <w:p w:rsidR="00AC1BC8" w:rsidRDefault="00AC1BC8" w:rsidP="00AC1BC8">
            <w:pPr>
              <w:spacing w:after="0" w:line="240" w:lineRule="auto"/>
              <w:jc w:val="both"/>
            </w:pPr>
          </w:p>
          <w:p w:rsidR="00780ABF" w:rsidRPr="009D0AED" w:rsidRDefault="00780ABF" w:rsidP="00AC1BC8">
            <w:pPr>
              <w:jc w:val="both"/>
            </w:pPr>
          </w:p>
        </w:tc>
      </w:tr>
      <w:tr w:rsidR="00E94867" w:rsidRPr="009D0AED" w:rsidTr="00FC5370">
        <w:trPr>
          <w:trHeight w:val="530"/>
        </w:trPr>
        <w:tc>
          <w:tcPr>
            <w:tcW w:w="3400" w:type="dxa"/>
          </w:tcPr>
          <w:p w:rsidR="00E94867" w:rsidRPr="009D0AED" w:rsidRDefault="00E94867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t xml:space="preserve">Realizar el pedido de las 250 </w:t>
            </w:r>
            <w:proofErr w:type="spellStart"/>
            <w:r w:rsidRPr="009D0AED">
              <w:t>XOs</w:t>
            </w:r>
            <w:proofErr w:type="spellEnd"/>
            <w:r w:rsidRPr="009D0AED">
              <w:t xml:space="preserve"> que tiene en stock el MINEDU al Viceministro de Educación, Sr. </w:t>
            </w:r>
            <w:proofErr w:type="spellStart"/>
            <w:r w:rsidRPr="009D0AED">
              <w:t>Figallo</w:t>
            </w:r>
            <w:proofErr w:type="spellEnd"/>
          </w:p>
        </w:tc>
        <w:tc>
          <w:tcPr>
            <w:tcW w:w="1932" w:type="dxa"/>
          </w:tcPr>
          <w:p w:rsidR="00E94867" w:rsidRPr="009D0AED" w:rsidRDefault="00CE0E84" w:rsidP="00AA6EE1">
            <w:r>
              <w:t>DREP/PAD/MINEDU</w:t>
            </w:r>
          </w:p>
        </w:tc>
        <w:tc>
          <w:tcPr>
            <w:tcW w:w="3600" w:type="dxa"/>
          </w:tcPr>
          <w:p w:rsidR="00E94867" w:rsidRPr="009D0AED" w:rsidRDefault="001E782D" w:rsidP="00FC5370">
            <w:pPr>
              <w:jc w:val="both"/>
            </w:pPr>
            <w:r>
              <w:t xml:space="preserve">Pendiente </w:t>
            </w:r>
            <w:r w:rsidR="00FC5370">
              <w:t xml:space="preserve"> </w:t>
            </w:r>
            <w:r w:rsidR="00FC5370" w:rsidRPr="00FC5370">
              <w:t xml:space="preserve">de remitir  80 </w:t>
            </w:r>
            <w:proofErr w:type="spellStart"/>
            <w:r w:rsidR="00FC5370" w:rsidRPr="00FC5370">
              <w:t>XOs</w:t>
            </w:r>
            <w:proofErr w:type="spellEnd"/>
            <w:r w:rsidR="00FC5370" w:rsidRPr="00FC5370">
              <w:t xml:space="preserve"> </w:t>
            </w:r>
            <w:r w:rsidR="00FC5370">
              <w:t>d</w:t>
            </w:r>
            <w:r>
              <w:t xml:space="preserve">el  </w:t>
            </w:r>
            <w:r w:rsidR="00FC5370">
              <w:t>MINEDU</w:t>
            </w:r>
            <w:r w:rsidR="00CE0E84">
              <w:t>, responsables de seguimiento</w:t>
            </w:r>
            <w:r w:rsidR="00214A14">
              <w:t>:</w:t>
            </w:r>
            <w:r w:rsidR="00CE0E84">
              <w:t xml:space="preserve"> J. Melgarejo y W. Olaya.</w:t>
            </w:r>
          </w:p>
        </w:tc>
      </w:tr>
      <w:tr w:rsidR="00E94867" w:rsidRPr="009D0AED" w:rsidTr="00FC5370">
        <w:trPr>
          <w:trHeight w:val="530"/>
        </w:trPr>
        <w:tc>
          <w:tcPr>
            <w:tcW w:w="3400" w:type="dxa"/>
          </w:tcPr>
          <w:p w:rsidR="00E94867" w:rsidRPr="009D0AED" w:rsidRDefault="00E94867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t>Asignación de un especialista para el monitoreo y acompañamiento del proyecto piloto</w:t>
            </w:r>
          </w:p>
        </w:tc>
        <w:tc>
          <w:tcPr>
            <w:tcW w:w="1932" w:type="dxa"/>
          </w:tcPr>
          <w:p w:rsidR="00E94867" w:rsidRPr="009D0AED" w:rsidRDefault="00E94867" w:rsidP="00AA6EE1">
            <w:r w:rsidRPr="009D0AED">
              <w:t xml:space="preserve">DTE </w:t>
            </w:r>
            <w:r w:rsidR="00CE0E84">
              <w:t>del MINEDU</w:t>
            </w:r>
          </w:p>
        </w:tc>
        <w:tc>
          <w:tcPr>
            <w:tcW w:w="3600" w:type="dxa"/>
          </w:tcPr>
          <w:p w:rsidR="00E94867" w:rsidRDefault="00E81CF9" w:rsidP="00E81CF9">
            <w:pPr>
              <w:jc w:val="both"/>
            </w:pPr>
            <w:r>
              <w:t xml:space="preserve">El Lic. </w:t>
            </w:r>
            <w:r w:rsidR="006B0604">
              <w:t>Víctor</w:t>
            </w:r>
            <w:r>
              <w:t xml:space="preserve"> Marengo</w:t>
            </w:r>
            <w:r w:rsidR="00214A14">
              <w:t>,</w:t>
            </w:r>
            <w:r>
              <w:t xml:space="preserve"> Especialista de la Dirección de Innovación Tecnológica MINEDU</w:t>
            </w:r>
            <w:r w:rsidR="007E1646">
              <w:t xml:space="preserve">, ha sido designado por el </w:t>
            </w:r>
            <w:r w:rsidR="00A11C09">
              <w:t>MINEDU,</w:t>
            </w:r>
            <w:r w:rsidR="007E1646">
              <w:t xml:space="preserve"> y tuvo  a cargo el curso de capacitación del MINEDU los días 20,21 y 23 Abril.</w:t>
            </w:r>
          </w:p>
          <w:p w:rsidR="003211D7" w:rsidRPr="009D0AED" w:rsidRDefault="00F305D7" w:rsidP="00214A14">
            <w:pPr>
              <w:jc w:val="both"/>
            </w:pPr>
            <w:r>
              <w:t>-Participó en reunión de coordinación con el equipo técnico los días 21 y 22</w:t>
            </w:r>
          </w:p>
        </w:tc>
      </w:tr>
      <w:tr w:rsidR="00E94867" w:rsidRPr="009D0AED" w:rsidTr="00FC5370">
        <w:trPr>
          <w:trHeight w:val="530"/>
        </w:trPr>
        <w:tc>
          <w:tcPr>
            <w:tcW w:w="3400" w:type="dxa"/>
          </w:tcPr>
          <w:p w:rsidR="00E94867" w:rsidRPr="009D0AED" w:rsidRDefault="00E94867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9D0AED">
              <w:lastRenderedPageBreak/>
              <w:t>Coordinar para que venga a Piura el representante de la Fundación Zamora, para explicar el proceso de implementación del uso de TIC en Educación en Uruguay</w:t>
            </w:r>
          </w:p>
        </w:tc>
        <w:tc>
          <w:tcPr>
            <w:tcW w:w="1932" w:type="dxa"/>
          </w:tcPr>
          <w:p w:rsidR="00E94867" w:rsidRPr="009D0AED" w:rsidRDefault="00E94867" w:rsidP="00AA6EE1">
            <w:r w:rsidRPr="009D0AED">
              <w:t>PAD /UDEP</w:t>
            </w:r>
          </w:p>
        </w:tc>
        <w:tc>
          <w:tcPr>
            <w:tcW w:w="3600" w:type="dxa"/>
          </w:tcPr>
          <w:p w:rsidR="00E94867" w:rsidRPr="009D0AED" w:rsidRDefault="00CE0E84" w:rsidP="00AA6EE1">
            <w:r>
              <w:t>Pendiente</w:t>
            </w:r>
          </w:p>
          <w:p w:rsidR="00E94867" w:rsidRPr="009D0AED" w:rsidRDefault="00E94867" w:rsidP="00622AE5">
            <w:pPr>
              <w:jc w:val="both"/>
            </w:pPr>
            <w:r w:rsidRPr="009D0AED">
              <w:t>Se evalúa la posibilidad de que una delegación viaje a Managua.</w:t>
            </w:r>
          </w:p>
        </w:tc>
      </w:tr>
      <w:tr w:rsidR="00FC5370" w:rsidRPr="009D0AED" w:rsidTr="00FC5370">
        <w:trPr>
          <w:trHeight w:val="530"/>
        </w:trPr>
        <w:tc>
          <w:tcPr>
            <w:tcW w:w="3400" w:type="dxa"/>
          </w:tcPr>
          <w:p w:rsidR="00FC5370" w:rsidRPr="009D0AED" w:rsidRDefault="00FC5370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Ejecución del Proyecto</w:t>
            </w:r>
          </w:p>
        </w:tc>
        <w:tc>
          <w:tcPr>
            <w:tcW w:w="1932" w:type="dxa"/>
          </w:tcPr>
          <w:p w:rsidR="00FC5370" w:rsidRPr="009D0AED" w:rsidRDefault="00FC5370" w:rsidP="00AA6EE1"/>
        </w:tc>
        <w:tc>
          <w:tcPr>
            <w:tcW w:w="3600" w:type="dxa"/>
          </w:tcPr>
          <w:p w:rsidR="00FC5370" w:rsidRDefault="00FC5370" w:rsidP="00AA6EE1">
            <w:r>
              <w:t xml:space="preserve">1. </w:t>
            </w:r>
            <w:r w:rsidRPr="00FC5370">
              <w:t xml:space="preserve">El proyecto se inauguró el 20 de Abril con presencia de   Ing. Jorge Peralta, Director de Innovación Tecnológica del MINEDU, Lic. Pedro </w:t>
            </w:r>
            <w:proofErr w:type="spellStart"/>
            <w:r w:rsidRPr="00FC5370">
              <w:t>Periche</w:t>
            </w:r>
            <w:proofErr w:type="spellEnd"/>
            <w:r w:rsidRPr="00FC5370">
              <w:t xml:space="preserve"> Director Regional de Educación de Piura, Carmen Sánchez Director UGEL Piura, Ing. </w:t>
            </w:r>
            <w:proofErr w:type="spellStart"/>
            <w:r w:rsidRPr="00FC5370">
              <w:t>Hermer</w:t>
            </w:r>
            <w:proofErr w:type="spellEnd"/>
            <w:r w:rsidRPr="00FC5370">
              <w:t xml:space="preserve"> Alzamora Consejero Regional representante del Gobernador, Dr. Antonio </w:t>
            </w:r>
            <w:proofErr w:type="spellStart"/>
            <w:r w:rsidRPr="00FC5370">
              <w:t>Mabres</w:t>
            </w:r>
            <w:proofErr w:type="spellEnd"/>
            <w:r w:rsidRPr="00FC5370">
              <w:t xml:space="preserve">, Vicerrector de Investigación de la Universidad de </w:t>
            </w:r>
            <w:proofErr w:type="gramStart"/>
            <w:r w:rsidRPr="00FC5370">
              <w:t>Piura ,</w:t>
            </w:r>
            <w:proofErr w:type="gramEnd"/>
            <w:r w:rsidRPr="00FC5370">
              <w:t xml:space="preserve"> el equipo técnico, 34 docentes, 10 Directores y prensa.</w:t>
            </w:r>
          </w:p>
          <w:p w:rsidR="00FC5370" w:rsidRDefault="00FC5370" w:rsidP="00FC5370">
            <w:r>
              <w:t xml:space="preserve">2. Se inició el 20 de Abril el curso de capacitación  de refuerzo sobre Utilización de </w:t>
            </w:r>
            <w:proofErr w:type="spellStart"/>
            <w:r>
              <w:t>XOs</w:t>
            </w:r>
            <w:proofErr w:type="spellEnd"/>
            <w:r>
              <w:t>,  a cargo de dos especialistas del MINEDU, continuando los días 21 y 23, 4 horas por día.</w:t>
            </w:r>
          </w:p>
          <w:p w:rsidR="00FC5370" w:rsidRDefault="00FC5370" w:rsidP="00FC5370">
            <w:r>
              <w:t>3. Se inició el curso de Capacitación para el desarrollo de Competencias Blandas utilizando la herramienta XO, a cargo de la UDEP el día 2 de Mayo.</w:t>
            </w:r>
          </w:p>
        </w:tc>
      </w:tr>
    </w:tbl>
    <w:p w:rsidR="00E94867" w:rsidRDefault="00E94867" w:rsidP="002F23B8">
      <w:pPr>
        <w:jc w:val="both"/>
      </w:pPr>
    </w:p>
    <w:p w:rsidR="00E94867" w:rsidRDefault="00E94867" w:rsidP="002F23B8">
      <w:pPr>
        <w:jc w:val="both"/>
      </w:pPr>
    </w:p>
    <w:p w:rsidR="00E94867" w:rsidRDefault="00E94867" w:rsidP="002F23B8">
      <w:pPr>
        <w:jc w:val="both"/>
      </w:pPr>
    </w:p>
    <w:p w:rsidR="00214A14" w:rsidRDefault="00214A14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94867" w:rsidRDefault="00AE343C" w:rsidP="00961055">
      <w:pPr>
        <w:jc w:val="both"/>
        <w:rPr>
          <w:b/>
          <w:bCs/>
        </w:rPr>
      </w:pPr>
      <w:r w:rsidRPr="00AE343C">
        <w:rPr>
          <w:b/>
        </w:rPr>
        <w:lastRenderedPageBreak/>
        <w:t>3.-</w:t>
      </w:r>
      <w:r w:rsidR="00214A14">
        <w:rPr>
          <w:b/>
        </w:rPr>
        <w:t xml:space="preserve"> </w:t>
      </w:r>
      <w:r w:rsidRPr="00AE343C">
        <w:rPr>
          <w:b/>
        </w:rPr>
        <w:t>Cuadro de Asistencia de Docentes a las Capacitaciones</w:t>
      </w:r>
      <w:r w:rsidR="00FB32E6" w:rsidRPr="00FB32E6">
        <w:rPr>
          <w:noProof/>
          <w:lang w:val="es-ES" w:eastAsia="es-ES"/>
        </w:rPr>
        <w:drawing>
          <wp:inline distT="0" distB="0" distL="0" distR="0">
            <wp:extent cx="6466840" cy="79724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37" cy="80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67" w:rsidRDefault="00E94867" w:rsidP="00961055">
      <w:pPr>
        <w:jc w:val="both"/>
        <w:rPr>
          <w:b/>
          <w:bCs/>
        </w:rPr>
        <w:sectPr w:rsidR="00E94867" w:rsidSect="00B53A6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94867" w:rsidRDefault="00E94867" w:rsidP="00961055">
      <w:pPr>
        <w:jc w:val="both"/>
        <w:rPr>
          <w:b/>
          <w:bCs/>
        </w:rPr>
      </w:pPr>
      <w:r>
        <w:rPr>
          <w:b/>
          <w:bCs/>
        </w:rPr>
        <w:lastRenderedPageBreak/>
        <w:t>4.- Observaciones</w:t>
      </w:r>
    </w:p>
    <w:p w:rsidR="00DC5D24" w:rsidRDefault="00CE0E84" w:rsidP="00AE343C">
      <w:pPr>
        <w:jc w:val="both"/>
      </w:pPr>
      <w:r>
        <w:t xml:space="preserve">- </w:t>
      </w:r>
      <w:r w:rsidR="00AE343C">
        <w:t xml:space="preserve">En la formulación del Perfil del proyecto deben definirse, temas como el tiempo que deben estar las </w:t>
      </w:r>
      <w:proofErr w:type="spellStart"/>
      <w:r w:rsidR="00AE343C">
        <w:t>XOs</w:t>
      </w:r>
      <w:proofErr w:type="spellEnd"/>
      <w:r w:rsidR="00AE343C">
        <w:t xml:space="preserve"> con los alumnos, los  indicadores de gestión, el acompañamiento de los padres de familia, el compromiso y motivación de los Directores del Colegio, </w:t>
      </w:r>
      <w:r w:rsidR="00F305D7">
        <w:t xml:space="preserve">encuestas, </w:t>
      </w:r>
      <w:r w:rsidR="00AE343C">
        <w:t>entre otros.</w:t>
      </w:r>
    </w:p>
    <w:p w:rsidR="00F838FD" w:rsidRDefault="00F838FD" w:rsidP="00AE343C">
      <w:pPr>
        <w:jc w:val="both"/>
      </w:pPr>
      <w:r>
        <w:t xml:space="preserve">-Se coordina reunión con el Lic. Pedro </w:t>
      </w:r>
      <w:proofErr w:type="spellStart"/>
      <w:r>
        <w:t>Periche</w:t>
      </w:r>
      <w:proofErr w:type="spellEnd"/>
      <w:r>
        <w:t xml:space="preserve"> Director Regional de Educación </w:t>
      </w:r>
      <w:r w:rsidR="00D4262E">
        <w:t xml:space="preserve">para </w:t>
      </w:r>
      <w:r>
        <w:t xml:space="preserve">el día </w:t>
      </w:r>
      <w:r w:rsidR="00214A14">
        <w:t>lunes</w:t>
      </w:r>
      <w:r>
        <w:t xml:space="preserve"> </w:t>
      </w:r>
      <w:r w:rsidR="00214A14">
        <w:t>9</w:t>
      </w:r>
      <w:r>
        <w:t xml:space="preserve"> </w:t>
      </w:r>
      <w:r w:rsidR="00214A14">
        <w:t xml:space="preserve">de </w:t>
      </w:r>
      <w:r>
        <w:t xml:space="preserve">mayo a las </w:t>
      </w:r>
      <w:r w:rsidR="00214A14">
        <w:t>8</w:t>
      </w:r>
      <w:r>
        <w:t xml:space="preserve">.00am en la DREP, para evaluar compromiso de apoyo </w:t>
      </w:r>
      <w:r w:rsidR="00D4262E">
        <w:t xml:space="preserve">al proyecto </w:t>
      </w:r>
      <w:r>
        <w:t xml:space="preserve">de los docentes y Directores de los colegios, elaboración del Perfil del proyecto y remisión de 80 </w:t>
      </w:r>
      <w:proofErr w:type="spellStart"/>
      <w:r>
        <w:t>XOs</w:t>
      </w:r>
      <w:proofErr w:type="spellEnd"/>
      <w:r>
        <w:t xml:space="preserve"> de Lima.</w:t>
      </w:r>
    </w:p>
    <w:p w:rsidR="00E94867" w:rsidRPr="00792BA4" w:rsidRDefault="00E94867" w:rsidP="002F23B8">
      <w:pPr>
        <w:jc w:val="both"/>
        <w:rPr>
          <w:b/>
          <w:bCs/>
        </w:rPr>
      </w:pPr>
      <w:r>
        <w:rPr>
          <w:b/>
          <w:bCs/>
        </w:rPr>
        <w:t>5</w:t>
      </w:r>
      <w:r w:rsidRPr="00792BA4">
        <w:rPr>
          <w:b/>
          <w:bCs/>
        </w:rPr>
        <w:t>.-Proxima Reunión</w:t>
      </w:r>
    </w:p>
    <w:p w:rsidR="00E94867" w:rsidRPr="00AF08DD" w:rsidRDefault="00E94867" w:rsidP="002F23B8">
      <w:pPr>
        <w:jc w:val="both"/>
      </w:pPr>
      <w:r w:rsidRPr="00792BA4">
        <w:t xml:space="preserve">Se </w:t>
      </w:r>
      <w:r w:rsidR="00F838FD" w:rsidRPr="00792BA4">
        <w:t>acuerd</w:t>
      </w:r>
      <w:r w:rsidR="00F838FD">
        <w:t>a</w:t>
      </w:r>
      <w:r>
        <w:t xml:space="preserve"> </w:t>
      </w:r>
      <w:r w:rsidR="005D2198">
        <w:t>próxi</w:t>
      </w:r>
      <w:r w:rsidR="006A4CF8">
        <w:t xml:space="preserve">ma reunión el día </w:t>
      </w:r>
      <w:r w:rsidR="00F838FD">
        <w:t>Miércoles 11</w:t>
      </w:r>
      <w:r w:rsidR="00D45BAB">
        <w:t xml:space="preserve"> Mayo   a las </w:t>
      </w:r>
      <w:r w:rsidR="00F838FD">
        <w:t>09</w:t>
      </w:r>
      <w:r w:rsidR="00D45BAB">
        <w:t>:00 am en la DREP</w:t>
      </w:r>
      <w:r w:rsidR="005D2198">
        <w:t>.</w:t>
      </w:r>
    </w:p>
    <w:sectPr w:rsidR="00E94867" w:rsidRPr="00AF08DD" w:rsidSect="00B53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5148"/>
    <w:multiLevelType w:val="hybridMultilevel"/>
    <w:tmpl w:val="8A9A9B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0CA0"/>
    <w:multiLevelType w:val="hybridMultilevel"/>
    <w:tmpl w:val="77905A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ECA5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9C7E9A"/>
    <w:multiLevelType w:val="hybridMultilevel"/>
    <w:tmpl w:val="7FFE9A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26"/>
  <w:displayHorizontalDrawingGridEvery w:val="2"/>
  <w:characterSpacingControl w:val="doNotCompress"/>
  <w:doNotValidateAgainstSchema/>
  <w:doNotDemarcateInvalidXml/>
  <w:compat/>
  <w:rsids>
    <w:rsidRoot w:val="002C20B9"/>
    <w:rsid w:val="00013FD4"/>
    <w:rsid w:val="00026253"/>
    <w:rsid w:val="00026983"/>
    <w:rsid w:val="00033502"/>
    <w:rsid w:val="0006021C"/>
    <w:rsid w:val="0006324B"/>
    <w:rsid w:val="000660DF"/>
    <w:rsid w:val="000766F3"/>
    <w:rsid w:val="0009332A"/>
    <w:rsid w:val="0009462D"/>
    <w:rsid w:val="000A222C"/>
    <w:rsid w:val="000A2996"/>
    <w:rsid w:val="000B19AE"/>
    <w:rsid w:val="000B1E90"/>
    <w:rsid w:val="000B2D66"/>
    <w:rsid w:val="000C4155"/>
    <w:rsid w:val="000F7456"/>
    <w:rsid w:val="00144BBD"/>
    <w:rsid w:val="00151EAD"/>
    <w:rsid w:val="0015573C"/>
    <w:rsid w:val="0017231D"/>
    <w:rsid w:val="001B0A4E"/>
    <w:rsid w:val="001B16F2"/>
    <w:rsid w:val="001B4CD6"/>
    <w:rsid w:val="001D1C19"/>
    <w:rsid w:val="001E3054"/>
    <w:rsid w:val="001E604C"/>
    <w:rsid w:val="001E782D"/>
    <w:rsid w:val="00214A14"/>
    <w:rsid w:val="00231A80"/>
    <w:rsid w:val="00267666"/>
    <w:rsid w:val="00281E13"/>
    <w:rsid w:val="00283BDD"/>
    <w:rsid w:val="00285010"/>
    <w:rsid w:val="00297C32"/>
    <w:rsid w:val="002A6FD7"/>
    <w:rsid w:val="002B0A18"/>
    <w:rsid w:val="002B32CF"/>
    <w:rsid w:val="002B358D"/>
    <w:rsid w:val="002B633A"/>
    <w:rsid w:val="002B6C07"/>
    <w:rsid w:val="002C20B9"/>
    <w:rsid w:val="002C5B12"/>
    <w:rsid w:val="002D4E60"/>
    <w:rsid w:val="002F23B8"/>
    <w:rsid w:val="00310CD3"/>
    <w:rsid w:val="003211D7"/>
    <w:rsid w:val="00337718"/>
    <w:rsid w:val="00351190"/>
    <w:rsid w:val="003702CE"/>
    <w:rsid w:val="00377C50"/>
    <w:rsid w:val="003A0CA0"/>
    <w:rsid w:val="003A239D"/>
    <w:rsid w:val="003A7352"/>
    <w:rsid w:val="003A7E79"/>
    <w:rsid w:val="003B7F6C"/>
    <w:rsid w:val="003C57DD"/>
    <w:rsid w:val="003D6739"/>
    <w:rsid w:val="003E32A3"/>
    <w:rsid w:val="003F3032"/>
    <w:rsid w:val="003F54B1"/>
    <w:rsid w:val="004037D7"/>
    <w:rsid w:val="00414070"/>
    <w:rsid w:val="004172A0"/>
    <w:rsid w:val="00417A68"/>
    <w:rsid w:val="004242CB"/>
    <w:rsid w:val="004401A1"/>
    <w:rsid w:val="0044062B"/>
    <w:rsid w:val="00454136"/>
    <w:rsid w:val="0048301E"/>
    <w:rsid w:val="00484CCD"/>
    <w:rsid w:val="004C5383"/>
    <w:rsid w:val="004E4E79"/>
    <w:rsid w:val="004F1AFA"/>
    <w:rsid w:val="005005B5"/>
    <w:rsid w:val="00535D37"/>
    <w:rsid w:val="00556907"/>
    <w:rsid w:val="00566F84"/>
    <w:rsid w:val="00573BCA"/>
    <w:rsid w:val="00586DD6"/>
    <w:rsid w:val="00590976"/>
    <w:rsid w:val="005A2920"/>
    <w:rsid w:val="005A694D"/>
    <w:rsid w:val="005A6CD3"/>
    <w:rsid w:val="005B4A0C"/>
    <w:rsid w:val="005C5AE9"/>
    <w:rsid w:val="005D2198"/>
    <w:rsid w:val="005F4723"/>
    <w:rsid w:val="005F5121"/>
    <w:rsid w:val="00622AE5"/>
    <w:rsid w:val="006255E3"/>
    <w:rsid w:val="0062712B"/>
    <w:rsid w:val="00630A60"/>
    <w:rsid w:val="00637E1B"/>
    <w:rsid w:val="0066213A"/>
    <w:rsid w:val="00666824"/>
    <w:rsid w:val="006942FF"/>
    <w:rsid w:val="006A3579"/>
    <w:rsid w:val="006A4CF8"/>
    <w:rsid w:val="006B0604"/>
    <w:rsid w:val="006B3D12"/>
    <w:rsid w:val="006C4BFE"/>
    <w:rsid w:val="006F0A31"/>
    <w:rsid w:val="00706825"/>
    <w:rsid w:val="00763346"/>
    <w:rsid w:val="00771A49"/>
    <w:rsid w:val="0077410C"/>
    <w:rsid w:val="00780ABF"/>
    <w:rsid w:val="00783606"/>
    <w:rsid w:val="00792BA4"/>
    <w:rsid w:val="007962AA"/>
    <w:rsid w:val="007A15EE"/>
    <w:rsid w:val="007C12FB"/>
    <w:rsid w:val="007C1710"/>
    <w:rsid w:val="007C4231"/>
    <w:rsid w:val="007E1646"/>
    <w:rsid w:val="00800180"/>
    <w:rsid w:val="00816C88"/>
    <w:rsid w:val="00826AE4"/>
    <w:rsid w:val="008973B0"/>
    <w:rsid w:val="008A4EEC"/>
    <w:rsid w:val="008C4F0B"/>
    <w:rsid w:val="008C76F1"/>
    <w:rsid w:val="008F1754"/>
    <w:rsid w:val="00910476"/>
    <w:rsid w:val="009147CF"/>
    <w:rsid w:val="00937C85"/>
    <w:rsid w:val="0094343C"/>
    <w:rsid w:val="00961055"/>
    <w:rsid w:val="00976A82"/>
    <w:rsid w:val="00995C1B"/>
    <w:rsid w:val="009A1A9A"/>
    <w:rsid w:val="009D0AED"/>
    <w:rsid w:val="009E3F1C"/>
    <w:rsid w:val="009E7AF5"/>
    <w:rsid w:val="009F6094"/>
    <w:rsid w:val="00A11433"/>
    <w:rsid w:val="00A11C09"/>
    <w:rsid w:val="00A21D9C"/>
    <w:rsid w:val="00A27500"/>
    <w:rsid w:val="00A75AA3"/>
    <w:rsid w:val="00A84287"/>
    <w:rsid w:val="00A9297C"/>
    <w:rsid w:val="00A94809"/>
    <w:rsid w:val="00AA416C"/>
    <w:rsid w:val="00AA4982"/>
    <w:rsid w:val="00AA6EE1"/>
    <w:rsid w:val="00AB7C1B"/>
    <w:rsid w:val="00AC1BC8"/>
    <w:rsid w:val="00AC58F6"/>
    <w:rsid w:val="00AC68D4"/>
    <w:rsid w:val="00AE343C"/>
    <w:rsid w:val="00AF08DD"/>
    <w:rsid w:val="00AF78F4"/>
    <w:rsid w:val="00B261DB"/>
    <w:rsid w:val="00B27832"/>
    <w:rsid w:val="00B50426"/>
    <w:rsid w:val="00B53A61"/>
    <w:rsid w:val="00B53EC7"/>
    <w:rsid w:val="00B6616E"/>
    <w:rsid w:val="00B7579D"/>
    <w:rsid w:val="00B758BF"/>
    <w:rsid w:val="00B76A8B"/>
    <w:rsid w:val="00BA2D6A"/>
    <w:rsid w:val="00BA46CA"/>
    <w:rsid w:val="00BB468B"/>
    <w:rsid w:val="00BC2EA9"/>
    <w:rsid w:val="00BC59FA"/>
    <w:rsid w:val="00C31B66"/>
    <w:rsid w:val="00C32FE1"/>
    <w:rsid w:val="00C55D0F"/>
    <w:rsid w:val="00C61FDA"/>
    <w:rsid w:val="00C644AB"/>
    <w:rsid w:val="00C87220"/>
    <w:rsid w:val="00C879E5"/>
    <w:rsid w:val="00C9206C"/>
    <w:rsid w:val="00C9416F"/>
    <w:rsid w:val="00CC10A4"/>
    <w:rsid w:val="00CD1C6B"/>
    <w:rsid w:val="00CE0E84"/>
    <w:rsid w:val="00CF7E3F"/>
    <w:rsid w:val="00D10BC0"/>
    <w:rsid w:val="00D12F23"/>
    <w:rsid w:val="00D1732F"/>
    <w:rsid w:val="00D23078"/>
    <w:rsid w:val="00D23B0A"/>
    <w:rsid w:val="00D26C89"/>
    <w:rsid w:val="00D32635"/>
    <w:rsid w:val="00D37E16"/>
    <w:rsid w:val="00D4262E"/>
    <w:rsid w:val="00D45BAB"/>
    <w:rsid w:val="00D577DD"/>
    <w:rsid w:val="00D61751"/>
    <w:rsid w:val="00D84343"/>
    <w:rsid w:val="00D86876"/>
    <w:rsid w:val="00D93853"/>
    <w:rsid w:val="00D94197"/>
    <w:rsid w:val="00D97849"/>
    <w:rsid w:val="00D97F7C"/>
    <w:rsid w:val="00DC5417"/>
    <w:rsid w:val="00DC5D24"/>
    <w:rsid w:val="00DD1641"/>
    <w:rsid w:val="00DD4AD3"/>
    <w:rsid w:val="00DD5A88"/>
    <w:rsid w:val="00E1467F"/>
    <w:rsid w:val="00E14CA7"/>
    <w:rsid w:val="00E41E31"/>
    <w:rsid w:val="00E53975"/>
    <w:rsid w:val="00E712CB"/>
    <w:rsid w:val="00E73E3D"/>
    <w:rsid w:val="00E77AEC"/>
    <w:rsid w:val="00E81CF9"/>
    <w:rsid w:val="00E81F34"/>
    <w:rsid w:val="00E83106"/>
    <w:rsid w:val="00E84F7B"/>
    <w:rsid w:val="00E87269"/>
    <w:rsid w:val="00E919DB"/>
    <w:rsid w:val="00E9209E"/>
    <w:rsid w:val="00E94867"/>
    <w:rsid w:val="00E978B1"/>
    <w:rsid w:val="00EC3571"/>
    <w:rsid w:val="00ED282B"/>
    <w:rsid w:val="00EE0305"/>
    <w:rsid w:val="00EE3342"/>
    <w:rsid w:val="00EF641B"/>
    <w:rsid w:val="00F15ED8"/>
    <w:rsid w:val="00F218BB"/>
    <w:rsid w:val="00F305D7"/>
    <w:rsid w:val="00F42969"/>
    <w:rsid w:val="00F45F00"/>
    <w:rsid w:val="00F55568"/>
    <w:rsid w:val="00F7337B"/>
    <w:rsid w:val="00F82E8B"/>
    <w:rsid w:val="00F838FD"/>
    <w:rsid w:val="00F94BF8"/>
    <w:rsid w:val="00FB32E6"/>
    <w:rsid w:val="00FC1419"/>
    <w:rsid w:val="00FC5370"/>
    <w:rsid w:val="00FD6C5D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6C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037D7"/>
    <w:pPr>
      <w:ind w:left="720"/>
    </w:pPr>
  </w:style>
  <w:style w:type="table" w:styleId="Tablaconcuadrcula">
    <w:name w:val="Table Grid"/>
    <w:basedOn w:val="Tablanormal"/>
    <w:uiPriority w:val="59"/>
    <w:rsid w:val="004C538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A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6C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037D7"/>
    <w:pPr>
      <w:ind w:left="720"/>
    </w:pPr>
  </w:style>
  <w:style w:type="table" w:styleId="Tablaconcuadrcula">
    <w:name w:val="Table Grid"/>
    <w:basedOn w:val="Tablanormal"/>
    <w:uiPriority w:val="59"/>
    <w:rsid w:val="004C53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Informe Mesa de Trabajo</vt:lpstr>
    </vt:vector>
  </TitlesOfParts>
  <Company>Luffi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Informe Mesa de Trabajo</dc:title>
  <dc:subject/>
  <dc:creator>UPAO</dc:creator>
  <cp:keywords/>
  <dc:description/>
  <cp:lastModifiedBy>gacuna</cp:lastModifiedBy>
  <cp:revision>2</cp:revision>
  <cp:lastPrinted>2016-04-08T13:42:00Z</cp:lastPrinted>
  <dcterms:created xsi:type="dcterms:W3CDTF">2016-05-10T17:07:00Z</dcterms:created>
  <dcterms:modified xsi:type="dcterms:W3CDTF">2016-05-10T17:07:00Z</dcterms:modified>
</cp:coreProperties>
</file>